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b/>
          <w:sz w:val="28"/>
          <w:szCs w:val="28"/>
        </w:rPr>
        <w:t>В</w:t>
      </w:r>
      <w:r w:rsidR="009855E2">
        <w:rPr>
          <w:rFonts w:ascii="Times New Roman" w:hAnsi="Times New Roman" w:cs="Times New Roman"/>
          <w:b/>
          <w:sz w:val="28"/>
          <w:szCs w:val="28"/>
        </w:rPr>
        <w:t>оротнее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D6C5B">
        <w:rPr>
          <w:rFonts w:ascii="Times New Roman" w:hAnsi="Times New Roman" w:cs="Times New Roman"/>
          <w:b/>
          <w:sz w:val="28"/>
          <w:szCs w:val="28"/>
        </w:rPr>
        <w:t>2</w:t>
      </w:r>
      <w:r w:rsidR="00AF4A9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</w:t>
      </w:r>
      <w:r w:rsidR="009855E2">
        <w:rPr>
          <w:rFonts w:ascii="Times New Roman" w:hAnsi="Times New Roman" w:cs="Times New Roman"/>
          <w:sz w:val="28"/>
          <w:szCs w:val="28"/>
        </w:rPr>
        <w:t>оротнее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9855E2">
        <w:rPr>
          <w:rFonts w:ascii="Times New Roman" w:hAnsi="Times New Roman" w:cs="Times New Roman"/>
          <w:sz w:val="28"/>
          <w:szCs w:val="28"/>
        </w:rPr>
        <w:t>8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ФНС России № 1</w:t>
      </w:r>
      <w:r w:rsidR="00DD6C5B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Также информационной базой оценки является отчет МРИ ФНС России № 1</w:t>
      </w:r>
      <w:r w:rsidR="00DD6C5B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485C59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2</w:t>
      </w:r>
      <w:r w:rsidR="00485C59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AF4A93">
        <w:rPr>
          <w:rFonts w:ascii="Times New Roman" w:hAnsi="Times New Roman" w:cs="Times New Roman"/>
          <w:sz w:val="28"/>
          <w:szCs w:val="28"/>
        </w:rPr>
        <w:t>688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2F7948">
        <w:rPr>
          <w:rFonts w:ascii="Times New Roman" w:hAnsi="Times New Roman" w:cs="Times New Roman"/>
          <w:sz w:val="28"/>
          <w:szCs w:val="28"/>
        </w:rPr>
        <w:t>5</w:t>
      </w:r>
      <w:r w:rsidR="00AF4A93">
        <w:rPr>
          <w:rFonts w:ascii="Times New Roman" w:hAnsi="Times New Roman" w:cs="Times New Roman"/>
          <w:sz w:val="28"/>
          <w:szCs w:val="28"/>
        </w:rPr>
        <w:t>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D8194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4A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из: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применения альтернативных механизмов достижения целей муниципальной программы.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337776" w:rsidRPr="00337776">
        <w:rPr>
          <w:rFonts w:ascii="Times New Roman" w:hAnsi="Times New Roman" w:cs="Times New Roman"/>
          <w:b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AF4A93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D81940">
        <w:rPr>
          <w:rFonts w:ascii="Times New Roman" w:hAnsi="Times New Roman" w:cs="Times New Roman"/>
          <w:sz w:val="28"/>
          <w:szCs w:val="28"/>
        </w:rPr>
        <w:t>инвалиды</w:t>
      </w:r>
      <w:r w:rsidR="00751BFD">
        <w:rPr>
          <w:rFonts w:ascii="Times New Roman" w:hAnsi="Times New Roman" w:cs="Times New Roman"/>
          <w:sz w:val="28"/>
          <w:szCs w:val="28"/>
        </w:rPr>
        <w:t>, дети - сироты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751BFD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43434A">
        <w:rPr>
          <w:rFonts w:ascii="Times New Roman" w:hAnsi="Times New Roman" w:cs="Times New Roman"/>
          <w:sz w:val="28"/>
          <w:szCs w:val="28"/>
        </w:rPr>
        <w:t>2</w:t>
      </w:r>
      <w:r w:rsidR="00751BFD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80"/>
        <w:gridCol w:w="1101"/>
        <w:gridCol w:w="1260"/>
        <w:gridCol w:w="1414"/>
        <w:gridCol w:w="1308"/>
        <w:gridCol w:w="1308"/>
      </w:tblGrid>
      <w:tr w:rsidR="00436998" w:rsidRPr="00D83627" w:rsidTr="00436998">
        <w:tc>
          <w:tcPr>
            <w:tcW w:w="3180" w:type="dxa"/>
          </w:tcPr>
          <w:p w:rsidR="00436998" w:rsidRPr="00D83627" w:rsidRDefault="00436998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1" w:type="dxa"/>
          </w:tcPr>
          <w:p w:rsidR="00436998" w:rsidRPr="00436998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60" w:type="dxa"/>
          </w:tcPr>
          <w:p w:rsidR="00436998" w:rsidRPr="00D83627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4" w:type="dxa"/>
          </w:tcPr>
          <w:p w:rsidR="00436998" w:rsidRPr="00D83627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</w:tcPr>
          <w:p w:rsidR="00436998" w:rsidRPr="00D83627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</w:tcPr>
          <w:p w:rsidR="00436998" w:rsidRPr="00D83627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6998" w:rsidRPr="00D83627" w:rsidTr="00436998">
        <w:tc>
          <w:tcPr>
            <w:tcW w:w="3180" w:type="dxa"/>
          </w:tcPr>
          <w:p w:rsidR="00436998" w:rsidRPr="00D83627" w:rsidRDefault="00436998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1" w:type="dxa"/>
            <w:vAlign w:val="center"/>
          </w:tcPr>
          <w:p w:rsidR="00436998" w:rsidRPr="00436998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:rsidR="00436998" w:rsidRDefault="00436998" w:rsidP="00C97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1414" w:type="dxa"/>
            <w:vAlign w:val="center"/>
          </w:tcPr>
          <w:p w:rsidR="00436998" w:rsidRPr="00D83627" w:rsidRDefault="00436998" w:rsidP="00C92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308" w:type="dxa"/>
            <w:vAlign w:val="center"/>
          </w:tcPr>
          <w:p w:rsidR="00436998" w:rsidRPr="00D83627" w:rsidRDefault="00436998" w:rsidP="005031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vAlign w:val="center"/>
          </w:tcPr>
          <w:p w:rsidR="00436998" w:rsidRPr="00D83627" w:rsidRDefault="00436998" w:rsidP="002A718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998" w:rsidRPr="00D83627" w:rsidTr="00436998">
        <w:tc>
          <w:tcPr>
            <w:tcW w:w="3180" w:type="dxa"/>
          </w:tcPr>
          <w:p w:rsidR="00436998" w:rsidRPr="00D83627" w:rsidRDefault="00436998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1" w:type="dxa"/>
            <w:vAlign w:val="center"/>
          </w:tcPr>
          <w:p w:rsidR="00436998" w:rsidRPr="00436998" w:rsidRDefault="00436998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677</w:t>
            </w:r>
          </w:p>
        </w:tc>
        <w:tc>
          <w:tcPr>
            <w:tcW w:w="1260" w:type="dxa"/>
            <w:vAlign w:val="center"/>
          </w:tcPr>
          <w:p w:rsidR="00436998" w:rsidRDefault="00436998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  <w:tc>
          <w:tcPr>
            <w:tcW w:w="1414" w:type="dxa"/>
            <w:vAlign w:val="center"/>
          </w:tcPr>
          <w:p w:rsidR="00436998" w:rsidRPr="00D83627" w:rsidRDefault="00436998" w:rsidP="00C92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702</w:t>
            </w:r>
          </w:p>
        </w:tc>
        <w:tc>
          <w:tcPr>
            <w:tcW w:w="1308" w:type="dxa"/>
            <w:vAlign w:val="center"/>
          </w:tcPr>
          <w:p w:rsidR="00436998" w:rsidRPr="00D83627" w:rsidRDefault="00436998" w:rsidP="005031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  <w:vAlign w:val="center"/>
          </w:tcPr>
          <w:p w:rsidR="00436998" w:rsidRPr="00D83627" w:rsidRDefault="00436998" w:rsidP="00D819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436998" w:rsidRPr="00D83627" w:rsidTr="00436998">
        <w:tc>
          <w:tcPr>
            <w:tcW w:w="3180" w:type="dxa"/>
          </w:tcPr>
          <w:p w:rsidR="00436998" w:rsidRPr="00D83627" w:rsidRDefault="00436998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1" w:type="dxa"/>
          </w:tcPr>
          <w:p w:rsidR="00436998" w:rsidRPr="00436998" w:rsidRDefault="00436998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60" w:type="dxa"/>
            <w:vAlign w:val="center"/>
          </w:tcPr>
          <w:p w:rsidR="00436998" w:rsidRPr="00D83627" w:rsidRDefault="00436998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14" w:type="dxa"/>
            <w:vAlign w:val="center"/>
          </w:tcPr>
          <w:p w:rsidR="00436998" w:rsidRPr="00D83627" w:rsidRDefault="00436998" w:rsidP="00C92C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308" w:type="dxa"/>
          </w:tcPr>
          <w:p w:rsidR="00436998" w:rsidRPr="00D83627" w:rsidRDefault="00436998" w:rsidP="00D819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436998" w:rsidRPr="00D83627" w:rsidRDefault="00436998" w:rsidP="00D819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отчетном году по сравнению с уровнем 20</w:t>
      </w:r>
      <w:r w:rsidR="0008786D">
        <w:rPr>
          <w:rFonts w:ascii="Times New Roman" w:hAnsi="Times New Roman" w:cs="Times New Roman"/>
          <w:sz w:val="28"/>
          <w:szCs w:val="28"/>
        </w:rPr>
        <w:t>2</w:t>
      </w:r>
      <w:r w:rsidR="00436998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436998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436998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436998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</w:t>
      </w:r>
      <w:r w:rsidR="00436998">
        <w:rPr>
          <w:rFonts w:ascii="Times New Roman" w:hAnsi="Times New Roman" w:cs="Times New Roman"/>
          <w:sz w:val="28"/>
          <w:szCs w:val="28"/>
        </w:rPr>
        <w:t>р</w:t>
      </w:r>
      <w:r w:rsidRPr="00D83627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436998">
        <w:rPr>
          <w:rFonts w:ascii="Times New Roman" w:hAnsi="Times New Roman" w:cs="Times New Roman"/>
          <w:sz w:val="28"/>
          <w:szCs w:val="28"/>
        </w:rPr>
        <w:t xml:space="preserve">в 2021 году – 5 тыс. рублей, </w:t>
      </w:r>
      <w:r w:rsidR="0008786D">
        <w:rPr>
          <w:rFonts w:ascii="Times New Roman" w:hAnsi="Times New Roman" w:cs="Times New Roman"/>
          <w:sz w:val="28"/>
          <w:szCs w:val="28"/>
        </w:rPr>
        <w:t xml:space="preserve">в 2020 году – 2 тыс. рублей, </w:t>
      </w:r>
      <w:r w:rsidR="00D81940">
        <w:rPr>
          <w:rFonts w:ascii="Times New Roman" w:hAnsi="Times New Roman" w:cs="Times New Roman"/>
          <w:sz w:val="28"/>
          <w:szCs w:val="28"/>
        </w:rPr>
        <w:t xml:space="preserve">в 2019 году – 0 тыс.рублей,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D81940">
        <w:rPr>
          <w:rFonts w:ascii="Times New Roman" w:hAnsi="Times New Roman" w:cs="Times New Roman"/>
          <w:sz w:val="28"/>
          <w:szCs w:val="28"/>
        </w:rPr>
        <w:t>0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D819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69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70712D" w:rsidRPr="0070712D">
        <w:rPr>
          <w:rFonts w:ascii="Times New Roman" w:hAnsi="Times New Roman" w:cs="Times New Roman"/>
          <w:b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собрания представителей сельского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EF0CAB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  <w:r w:rsidR="00853FED">
        <w:rPr>
          <w:rFonts w:ascii="Times New Roman" w:hAnsi="Times New Roman" w:cs="Times New Roman"/>
          <w:sz w:val="28"/>
          <w:szCs w:val="28"/>
        </w:rPr>
        <w:t xml:space="preserve"> В 202</w:t>
      </w:r>
      <w:r w:rsidR="00436998">
        <w:rPr>
          <w:rFonts w:ascii="Times New Roman" w:hAnsi="Times New Roman" w:cs="Times New Roman"/>
          <w:sz w:val="28"/>
          <w:szCs w:val="28"/>
        </w:rPr>
        <w:t>2</w:t>
      </w:r>
      <w:r w:rsidR="00853FED">
        <w:rPr>
          <w:rFonts w:ascii="Times New Roman" w:hAnsi="Times New Roman" w:cs="Times New Roman"/>
          <w:sz w:val="28"/>
          <w:szCs w:val="28"/>
        </w:rPr>
        <w:t xml:space="preserve"> году отсутствуют.</w:t>
      </w:r>
    </w:p>
    <w:p w:rsidR="00853FED" w:rsidRDefault="00853FED" w:rsidP="00853FE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</w:p>
    <w:p w:rsidR="00936946" w:rsidRPr="00D83627" w:rsidRDefault="00936946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выпадающих доходов в результате применения </w:t>
      </w:r>
      <w:r w:rsidR="00853FED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853FED">
        <w:rPr>
          <w:rFonts w:ascii="Times New Roman" w:hAnsi="Times New Roman" w:cs="Times New Roman"/>
          <w:sz w:val="28"/>
          <w:szCs w:val="28"/>
        </w:rPr>
        <w:t>2</w:t>
      </w:r>
      <w:r w:rsidR="004369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436998">
        <w:rPr>
          <w:rFonts w:ascii="Times New Roman" w:hAnsi="Times New Roman" w:cs="Times New Roman"/>
          <w:sz w:val="28"/>
          <w:szCs w:val="28"/>
        </w:rPr>
        <w:t>49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Воспользовались 2 организации из </w:t>
      </w:r>
      <w:r w:rsidR="00853FED">
        <w:rPr>
          <w:rFonts w:ascii="Times New Roman" w:hAnsi="Times New Roman" w:cs="Times New Roman"/>
          <w:sz w:val="28"/>
          <w:szCs w:val="28"/>
        </w:rPr>
        <w:t>1</w:t>
      </w:r>
      <w:r w:rsidR="004369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13F79"/>
    <w:rsid w:val="00016B02"/>
    <w:rsid w:val="0005565C"/>
    <w:rsid w:val="00082BA9"/>
    <w:rsid w:val="0008786D"/>
    <w:rsid w:val="00094476"/>
    <w:rsid w:val="000B4079"/>
    <w:rsid w:val="000D77FF"/>
    <w:rsid w:val="001052A4"/>
    <w:rsid w:val="00191DC5"/>
    <w:rsid w:val="001A2779"/>
    <w:rsid w:val="00206EEF"/>
    <w:rsid w:val="00230352"/>
    <w:rsid w:val="002A7186"/>
    <w:rsid w:val="002E1869"/>
    <w:rsid w:val="002E7523"/>
    <w:rsid w:val="002F5228"/>
    <w:rsid w:val="002F69A2"/>
    <w:rsid w:val="002F7948"/>
    <w:rsid w:val="0031394A"/>
    <w:rsid w:val="00337776"/>
    <w:rsid w:val="00372E49"/>
    <w:rsid w:val="003822DB"/>
    <w:rsid w:val="0043434A"/>
    <w:rsid w:val="00436998"/>
    <w:rsid w:val="00456723"/>
    <w:rsid w:val="00485C59"/>
    <w:rsid w:val="004D2C1F"/>
    <w:rsid w:val="00503165"/>
    <w:rsid w:val="005A7603"/>
    <w:rsid w:val="005B53CA"/>
    <w:rsid w:val="00636209"/>
    <w:rsid w:val="00646F11"/>
    <w:rsid w:val="00651289"/>
    <w:rsid w:val="00685D5F"/>
    <w:rsid w:val="00694919"/>
    <w:rsid w:val="006B455B"/>
    <w:rsid w:val="006C6045"/>
    <w:rsid w:val="006F72E1"/>
    <w:rsid w:val="0070712D"/>
    <w:rsid w:val="007203C3"/>
    <w:rsid w:val="00751BFD"/>
    <w:rsid w:val="008029A7"/>
    <w:rsid w:val="00832243"/>
    <w:rsid w:val="00844CF2"/>
    <w:rsid w:val="00853FED"/>
    <w:rsid w:val="008D375C"/>
    <w:rsid w:val="00913F79"/>
    <w:rsid w:val="009201D8"/>
    <w:rsid w:val="00936946"/>
    <w:rsid w:val="00953579"/>
    <w:rsid w:val="009855E2"/>
    <w:rsid w:val="009C4C7A"/>
    <w:rsid w:val="00A031FF"/>
    <w:rsid w:val="00A11D6C"/>
    <w:rsid w:val="00A1243C"/>
    <w:rsid w:val="00AF4A93"/>
    <w:rsid w:val="00B26BF9"/>
    <w:rsid w:val="00B54554"/>
    <w:rsid w:val="00B5479A"/>
    <w:rsid w:val="00C245BB"/>
    <w:rsid w:val="00C63121"/>
    <w:rsid w:val="00C92C57"/>
    <w:rsid w:val="00C97AD6"/>
    <w:rsid w:val="00D03314"/>
    <w:rsid w:val="00D61959"/>
    <w:rsid w:val="00D76EDC"/>
    <w:rsid w:val="00D81940"/>
    <w:rsid w:val="00D83627"/>
    <w:rsid w:val="00DD6C5B"/>
    <w:rsid w:val="00E139E8"/>
    <w:rsid w:val="00EA320D"/>
    <w:rsid w:val="00EB157D"/>
    <w:rsid w:val="00EF0CAB"/>
    <w:rsid w:val="00F7698D"/>
    <w:rsid w:val="00F83BB1"/>
    <w:rsid w:val="00F91D4A"/>
    <w:rsid w:val="00FD3AFD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21</cp:revision>
  <cp:lastPrinted>2021-06-22T07:02:00Z</cp:lastPrinted>
  <dcterms:created xsi:type="dcterms:W3CDTF">2021-06-23T06:34:00Z</dcterms:created>
  <dcterms:modified xsi:type="dcterms:W3CDTF">2024-04-16T12:38:00Z</dcterms:modified>
</cp:coreProperties>
</file>